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“Citizen”</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refers to a member of the general public, who is accessing the services made available by the Supplier under a Call-Off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5">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6">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7">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8">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9">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A">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B">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C">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D">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3">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5">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6">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7">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8">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0">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1">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Rule="auto"/>
        <w:ind w:left="0" w:firstLine="0"/>
        <w:jc w:val="both"/>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line="276" w:lineRule="auto"/>
              <w:ind w:left="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2">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ind w:left="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line="276" w:lineRule="auto"/>
              <w:ind w:left="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Rule="auto"/>
        <w:ind w:left="0" w:firstLine="0"/>
        <w:jc w:val="both"/>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D">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9">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A">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5">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6">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7">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A">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B">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D">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E">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0">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0">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1">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2">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“Mobilisation Costs”</w:t>
            </w:r>
          </w:p>
        </w:tc>
        <w:tc>
          <w:tcPr>
            <w:shd w:fill="auto" w:val="clear"/>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refer to the costs agreed between the Buyer and Supplier as part of the dialogue process (as set out in Framework Schedule 7) and identified in the Order Form that will be incurred as a result of services or works required to mobilise the Services between the period from Call Off Contract Award to the commencement of the Service. These mobilisation activities required by the Supplier will be fully specified within the Order Form.</w:t>
            </w:r>
            <w:r w:rsidDel="00000000" w:rsidR="00000000" w:rsidRPr="00000000">
              <w:rPr>
                <w:rtl w:val="0"/>
              </w:rPr>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“Network of Outlets”</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refer to the Outlets utilised to maintain the geographical coverage set   out in 2.1 of Framework Schedule 1 – Specification or any coverage agreed at Call Off Stage.  </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9">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A">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B">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C">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F">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0">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1">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2">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3">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4">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5">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6">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7">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8">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9">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A">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“Outlet”</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refers to a physical premise, either fixed or mobile sufficient to support the delivery of services as defined in Framework Schedule 1 - Specification.</w:t>
            </w:r>
            <w:r w:rsidDel="00000000" w:rsidR="00000000" w:rsidRPr="00000000">
              <w:rPr>
                <w:rtl w:val="0"/>
              </w:rPr>
            </w:r>
          </w:p>
        </w:tc>
      </w:tr>
      <w:tr>
        <w:trPr>
          <w:cantSplit w:val="0"/>
          <w:tblHeader w:val="0"/>
        </w:trPr>
        <w:tc>
          <w:tcPr/>
          <w:p w:rsidR="00000000" w:rsidDel="00000000" w:rsidP="00000000" w:rsidRDefault="00000000" w:rsidRPr="00000000" w14:paraId="000001C5">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7">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9">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4">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5">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6">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7">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8">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9">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A">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B">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C">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F">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3">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4">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8">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E">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4">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6">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C">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D">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8">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9">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A">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2">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4">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5">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6">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6">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7">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8">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134"/>
              </w:tabs>
              <w:spacing w:after="120" w:before="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134"/>
              </w:tabs>
              <w:spacing w:after="120" w:before="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D">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E">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8">
            <w:pPr>
              <w:numPr>
                <w:ilvl w:val="1"/>
                <w:numId w:val="11"/>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9">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“Token”</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an item, either physical or digital, that can be exchanged for a service via this commercial agreement.</w:t>
            </w:r>
            <w:r w:rsidDel="00000000" w:rsidR="00000000" w:rsidRPr="00000000">
              <w:rPr>
                <w:rtl w:val="0"/>
              </w:rPr>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B">
      <w:pPr>
        <w:spacing w:after="0" w:line="240" w:lineRule="auto"/>
        <w:jc w:val="both"/>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Xjj5LnykZXIXocqu9KKCCMfXsA==">CgMxLjAyCWlkLmdqZGd4czIJaC4zMGowemxsMgloLjFmb2I5dGUyCWguM3pueXNoNzIIaC5namRneHM4AHIhMU1SY3lMT0E2VTJLRTJURm5YRjVGMUVMVWtSQmFTZU1K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2023-05-11T07:33:00Z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